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116B08" w:rsidRPr="00116B08" w:rsidTr="003942C7">
        <w:trPr>
          <w:cantSplit/>
        </w:trPr>
        <w:tc>
          <w:tcPr>
            <w:tcW w:w="9018" w:type="dxa"/>
            <w:gridSpan w:val="6"/>
          </w:tcPr>
          <w:p w:rsidR="00116B08" w:rsidRPr="00116B08" w:rsidRDefault="00116B08" w:rsidP="00116B08">
            <w:pPr>
              <w:spacing w:after="0" w:line="240" w:lineRule="auto"/>
              <w:rPr>
                <w:rFonts w:ascii="Arial" w:eastAsia="Times New Roman" w:hAnsi="Arial" w:cs="Times New Roman"/>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116B08" w:rsidRPr="00116B08" w:rsidRDefault="00116B08" w:rsidP="00116B08">
            <w:pPr>
              <w:spacing w:after="0" w:line="240" w:lineRule="auto"/>
              <w:jc w:val="center"/>
              <w:rPr>
                <w:rFonts w:ascii="Arial" w:eastAsia="Times New Roman" w:hAnsi="Arial" w:cs="Times New Roman"/>
                <w:b/>
                <w:sz w:val="28"/>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STE.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116B08" w:rsidRPr="00116B08" w:rsidRDefault="00116B08" w:rsidP="00116B08">
            <w:pPr>
              <w:tabs>
                <w:tab w:val="center" w:pos="4560"/>
              </w:tabs>
              <w:spacing w:after="0" w:line="240" w:lineRule="auto"/>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116B08" w:rsidRPr="00116B08" w:rsidRDefault="00116B08" w:rsidP="00116B08">
            <w:pPr>
              <w:spacing w:after="0" w:line="240" w:lineRule="auto"/>
              <w:rPr>
                <w:rFonts w:ascii="Arial" w:eastAsia="Times New Roman" w:hAnsi="Arial" w:cs="Times New Roman"/>
                <w:sz w:val="24"/>
                <w:szCs w:val="20"/>
                <w:lang w:val="en-US"/>
              </w:rPr>
            </w:pP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116B08" w:rsidRPr="00116B08" w:rsidTr="003942C7">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3402"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w:t>
            </w:r>
            <w:r w:rsidR="00196C38">
              <w:rPr>
                <w:rFonts w:ascii="Arial" w:eastAsia="Times New Roman" w:hAnsi="Arial" w:cs="Times New Roman"/>
                <w:sz w:val="24"/>
                <w:szCs w:val="20"/>
                <w:lang w:val="en-US"/>
              </w:rPr>
              <w:t xml:space="preserve"> / Protection, Security and Investigation</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116B08" w:rsidRPr="00116B08" w:rsidTr="00DE4B3B">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1370" w:type="dxa"/>
          </w:tcPr>
          <w:p w:rsidR="00116B08" w:rsidRPr="00116B08" w:rsidRDefault="00B13F0B" w:rsidP="00116B0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 2013</w:t>
            </w:r>
          </w:p>
        </w:tc>
        <w:tc>
          <w:tcPr>
            <w:tcW w:w="3600"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530" w:type="dxa"/>
            <w:gridSpan w:val="2"/>
          </w:tcPr>
          <w:p w:rsidR="00116B08" w:rsidRPr="00116B08" w:rsidRDefault="00C47D74" w:rsidP="0018022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w:t>
            </w:r>
            <w:r w:rsidR="0018022B">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201</w:t>
            </w:r>
            <w:r w:rsidR="0018022B">
              <w:rPr>
                <w:rFonts w:ascii="Arial" w:eastAsia="Times New Roman" w:hAnsi="Arial" w:cs="Times New Roman"/>
                <w:sz w:val="24"/>
                <w:szCs w:val="20"/>
                <w:lang w:val="en-US"/>
              </w:rPr>
              <w:t>2</w:t>
            </w:r>
          </w:p>
        </w:tc>
      </w:tr>
      <w:tr w:rsidR="00116B08" w:rsidRPr="00116B08" w:rsidTr="00DE4B3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970" w:type="dxa"/>
            <w:gridSpan w:val="3"/>
          </w:tcPr>
          <w:p w:rsidR="00116B08" w:rsidRPr="00116B08" w:rsidRDefault="0018022B" w:rsidP="00116B08">
            <w:pPr>
              <w:spacing w:after="0" w:line="240" w:lineRule="auto"/>
              <w:jc w:val="center"/>
              <w:rPr>
                <w:rFonts w:ascii="Arial" w:eastAsia="Times New Roman" w:hAnsi="Arial" w:cs="Times New Roman"/>
                <w:sz w:val="24"/>
                <w:szCs w:val="20"/>
                <w:lang w:val="en-US"/>
              </w:rPr>
            </w:pPr>
            <w:r>
              <w:rPr>
                <w:rFonts w:ascii="Franklin Gothic Book" w:hAnsi="Franklin Gothic Book" w:cs="Arial"/>
              </w:rPr>
              <w:t>“Angelique Lemay”</w:t>
            </w:r>
          </w:p>
        </w:tc>
        <w:tc>
          <w:tcPr>
            <w:tcW w:w="1530" w:type="dxa"/>
            <w:gridSpan w:val="2"/>
          </w:tcPr>
          <w:p w:rsidR="00116B08" w:rsidRPr="00116B08" w:rsidRDefault="0018022B" w:rsidP="00116B08">
            <w:pPr>
              <w:spacing w:after="0" w:line="240" w:lineRule="auto"/>
              <w:rPr>
                <w:rFonts w:ascii="Arial" w:eastAsia="Times New Roman" w:hAnsi="Arial" w:cs="Times New Roman"/>
                <w:sz w:val="24"/>
                <w:szCs w:val="20"/>
                <w:lang w:val="en-US"/>
              </w:rPr>
            </w:pPr>
            <w:r>
              <w:rPr>
                <w:rFonts w:ascii="Franklin Gothic Book" w:hAnsi="Franklin Gothic Book" w:cs="Arial"/>
              </w:rPr>
              <w:t>Aug. 2013</w:t>
            </w:r>
          </w:p>
        </w:tc>
      </w:tr>
      <w:tr w:rsidR="00116B08" w:rsidRPr="00116B08" w:rsidTr="00DE4B3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4970" w:type="dxa"/>
            <w:gridSpan w:val="3"/>
          </w:tcPr>
          <w:p w:rsidR="00116B08" w:rsidRPr="00116B08" w:rsidRDefault="00116B08" w:rsidP="00116B08">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116B08" w:rsidRPr="00DE4B3B" w:rsidRDefault="00DE4B3B" w:rsidP="00116B08">
            <w:pPr>
              <w:keepNext/>
              <w:spacing w:after="0" w:line="240" w:lineRule="auto"/>
              <w:jc w:val="center"/>
              <w:outlineLvl w:val="1"/>
              <w:rPr>
                <w:rFonts w:ascii="Arial" w:eastAsia="Times New Roman" w:hAnsi="Arial" w:cs="Times New Roman"/>
                <w:b/>
                <w:sz w:val="24"/>
                <w:szCs w:val="24"/>
                <w:lang w:val="en-US"/>
              </w:rPr>
            </w:pPr>
            <w:r w:rsidRPr="00DE4B3B">
              <w:rPr>
                <w:rFonts w:ascii="Arial" w:hAnsi="Arial"/>
                <w:b/>
                <w:sz w:val="24"/>
                <w:szCs w:val="24"/>
              </w:rPr>
              <w:t>DEAN</w:t>
            </w:r>
          </w:p>
        </w:tc>
        <w:tc>
          <w:tcPr>
            <w:tcW w:w="1530" w:type="dxa"/>
            <w:gridSpan w:val="2"/>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116B08" w:rsidRPr="00116B08" w:rsidRDefault="00116B08" w:rsidP="00116B08">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bookmarkStart w:id="0" w:name="_GoBack"/>
            <w:bookmarkEnd w:id="0"/>
          </w:p>
        </w:tc>
      </w:tr>
      <w:tr w:rsidR="00116B08" w:rsidRPr="00116B08" w:rsidTr="003942C7">
        <w:trPr>
          <w:cantSplit/>
        </w:trPr>
        <w:tc>
          <w:tcPr>
            <w:tcW w:w="9018" w:type="dxa"/>
            <w:gridSpan w:val="6"/>
          </w:tcPr>
          <w:p w:rsidR="00116B08" w:rsidRPr="00116B08" w:rsidRDefault="00116B08" w:rsidP="00116B08">
            <w:pPr>
              <w:spacing w:after="0" w:line="240" w:lineRule="auto"/>
              <w:rPr>
                <w:rFonts w:ascii="Times New Roman" w:eastAsia="Times New Roman" w:hAnsi="Times New Roman" w:cs="Times New Roman"/>
                <w:sz w:val="24"/>
                <w:szCs w:val="20"/>
                <w:lang w:val="en-GB"/>
              </w:rPr>
            </w:pP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Copyright ©2011 The Sault College of Applied Arts &amp; Technology</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116B08">
              <w:rPr>
                <w:rFonts w:ascii="Arial" w:eastAsia="Times New Roman" w:hAnsi="Arial" w:cs="Times New Roman"/>
                <w:i/>
                <w:sz w:val="24"/>
                <w:szCs w:val="20"/>
                <w:lang w:val="en-GB"/>
              </w:rPr>
              <w:t>written</w:t>
            </w:r>
            <w:proofErr w:type="gramEnd"/>
            <w:r w:rsidRPr="00116B08">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116B08" w:rsidRPr="00116B08" w:rsidTr="003942C7">
        <w:trPr>
          <w:cantSplit/>
        </w:trPr>
        <w:tc>
          <w:tcPr>
            <w:tcW w:w="9018" w:type="dxa"/>
            <w:gridSpan w:val="6"/>
          </w:tcPr>
          <w:p w:rsidR="00116B08" w:rsidRPr="00DE4B3B" w:rsidRDefault="00DE4B3B" w:rsidP="00116B08">
            <w:pPr>
              <w:keepNext/>
              <w:tabs>
                <w:tab w:val="center" w:pos="4560"/>
              </w:tabs>
              <w:spacing w:after="0" w:line="240" w:lineRule="auto"/>
              <w:jc w:val="center"/>
              <w:outlineLvl w:val="1"/>
              <w:rPr>
                <w:rFonts w:ascii="Arial" w:eastAsia="Times New Roman" w:hAnsi="Arial" w:cs="Times New Roman"/>
                <w:sz w:val="24"/>
                <w:szCs w:val="24"/>
                <w:lang w:val="en-GB"/>
              </w:rPr>
            </w:pPr>
            <w:r w:rsidRPr="00DE4B3B">
              <w:rPr>
                <w:rFonts w:ascii="Arial" w:hAnsi="Arial"/>
                <w:i/>
                <w:sz w:val="24"/>
                <w:szCs w:val="24"/>
              </w:rPr>
              <w:t>For additional information, please contact Angelique Lemay, Dean</w:t>
            </w:r>
          </w:p>
        </w:tc>
      </w:tr>
      <w:tr w:rsidR="00116B08" w:rsidRPr="00116B08" w:rsidTr="003942C7">
        <w:trPr>
          <w:cantSplit/>
        </w:trPr>
        <w:tc>
          <w:tcPr>
            <w:tcW w:w="9018" w:type="dxa"/>
            <w:gridSpan w:val="6"/>
          </w:tcPr>
          <w:p w:rsidR="00116B08" w:rsidRPr="00116B08" w:rsidRDefault="00DE4B3B" w:rsidP="00116B08">
            <w:pPr>
              <w:tabs>
                <w:tab w:val="center" w:pos="4560"/>
              </w:tabs>
              <w:spacing w:after="0" w:line="240" w:lineRule="auto"/>
              <w:jc w:val="center"/>
              <w:rPr>
                <w:rFonts w:ascii="Arial" w:eastAsia="Times New Roman" w:hAnsi="Arial" w:cs="Times New Roman"/>
                <w:i/>
                <w:sz w:val="24"/>
                <w:szCs w:val="20"/>
                <w:lang w:val="en-GB"/>
              </w:rPr>
            </w:pPr>
            <w:r>
              <w:rPr>
                <w:rFonts w:ascii="Arial" w:hAnsi="Arial"/>
                <w:i/>
                <w:sz w:val="24"/>
                <w:szCs w:val="24"/>
                <w:lang w:val="en-GB"/>
              </w:rPr>
              <w:t>School of Community Services and Interdisciplinary Studies</w:t>
            </w:r>
          </w:p>
        </w:tc>
      </w:tr>
      <w:tr w:rsidR="00116B08" w:rsidRPr="00116B08" w:rsidTr="003942C7">
        <w:trPr>
          <w:cantSplit/>
        </w:trPr>
        <w:tc>
          <w:tcPr>
            <w:tcW w:w="9018" w:type="dxa"/>
            <w:gridSpan w:val="6"/>
          </w:tcPr>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sz w:val="24"/>
                <w:szCs w:val="20"/>
                <w:lang w:val="en-US"/>
              </w:rPr>
            </w:pPr>
          </w:p>
        </w:tc>
      </w:tr>
    </w:tbl>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116B08" w:rsidRPr="00116B08">
          <w:headerReference w:type="default" r:id="rId9"/>
          <w:pgSz w:w="12240" w:h="15840"/>
          <w:pgMar w:top="1440" w:right="1800" w:bottom="1440" w:left="1800" w:header="708" w:footer="708" w:gutter="0"/>
          <w:cols w:space="708"/>
          <w:docGrid w:linePitch="360"/>
        </w:sect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b/>
          <w:sz w:val="24"/>
          <w:szCs w:val="20"/>
          <w:lang w:val="en-GB"/>
        </w:rPr>
        <w:t>I.</w:t>
      </w:r>
      <w:r w:rsidRPr="00116B08">
        <w:rPr>
          <w:rFonts w:ascii="Times New Roman" w:eastAsia="Times New Roman" w:hAnsi="Times New Roman" w:cs="Times New Roman"/>
          <w:b/>
          <w:sz w:val="24"/>
          <w:szCs w:val="20"/>
          <w:lang w:val="en-GB"/>
        </w:rPr>
        <w:tab/>
        <w:t>COURSE DESCRIPTION:</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sz w:val="24"/>
          <w:szCs w:val="20"/>
          <w:lang w:val="en-GB"/>
        </w:rPr>
        <w:t>This course focuses on interviewing and investigation skills necessary to retrieve information from victims, witnesses and suspects.  Students will also learn the basic steps of investigation including the practical development of note taking and observation skills.</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b/>
          <w:szCs w:val="20"/>
          <w:lang w:val="en-GB"/>
        </w:rPr>
      </w:pPr>
      <w:r w:rsidRPr="00116B08">
        <w:rPr>
          <w:rFonts w:ascii="Arial" w:eastAsia="Times New Roman" w:hAnsi="Arial" w:cs="Times New Roman"/>
          <w:b/>
          <w:szCs w:val="20"/>
          <w:lang w:val="en-GB"/>
        </w:rPr>
        <w:t>II.</w:t>
      </w:r>
      <w:r w:rsidRPr="00116B08">
        <w:rPr>
          <w:rFonts w:ascii="Arial" w:eastAsia="Times New Roman" w:hAnsi="Arial" w:cs="Times New Roman"/>
          <w:b/>
          <w:szCs w:val="20"/>
          <w:lang w:val="en-GB"/>
        </w:rPr>
        <w:tab/>
        <w:t>LEARNING OUTCOMES AND ELEMENTS OF THE PERFORMANCE:</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firstRow="0" w:lastRow="0" w:firstColumn="0" w:lastColumn="0" w:noHBand="0" w:noVBand="0"/>
      </w:tblPr>
      <w:tblGrid>
        <w:gridCol w:w="4770"/>
        <w:gridCol w:w="5040"/>
      </w:tblGrid>
      <w:tr w:rsidR="00116B08" w:rsidRPr="00116B08" w:rsidTr="003942C7">
        <w:trPr>
          <w:jc w:val="center"/>
        </w:trPr>
        <w:tc>
          <w:tcPr>
            <w:tcW w:w="9810" w:type="dxa"/>
            <w:gridSpan w:val="2"/>
            <w:tcBorders>
              <w:top w:val="single" w:sz="6" w:space="0" w:color="FFFFFF"/>
              <w:left w:val="single" w:sz="6" w:space="0" w:color="FFFFFF"/>
              <w:bottom w:val="single" w:sz="6" w:space="0" w:color="FFFFFF"/>
            </w:tcBorders>
          </w:tcPr>
          <w:p w:rsidR="00116B08" w:rsidRPr="00116B08" w:rsidRDefault="00116B08" w:rsidP="00116B08">
            <w:pPr>
              <w:spacing w:after="0" w:line="177" w:lineRule="exact"/>
              <w:ind w:left="154"/>
              <w:jc w:val="center"/>
              <w:rPr>
                <w:rFonts w:ascii="Times New Roman" w:eastAsia="Times New Roman" w:hAnsi="Times New Roman" w:cs="Times New Roman"/>
                <w:b/>
                <w:sz w:val="24"/>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116B08" w:rsidRPr="00116B08" w:rsidTr="003942C7">
        <w:trPr>
          <w:jc w:val="center"/>
        </w:trPr>
        <w:tc>
          <w:tcPr>
            <w:tcW w:w="477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116B08" w:rsidRPr="00116B08" w:rsidTr="003942C7">
        <w:trPr>
          <w:jc w:val="center"/>
        </w:trPr>
        <w:tc>
          <w:tcPr>
            <w:tcW w:w="477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act</w:t>
            </w:r>
            <w:proofErr w:type="gramEnd"/>
            <w:r w:rsidRPr="00116B08">
              <w:rPr>
                <w:rFonts w:ascii="Times New Roman" w:eastAsia="Times New Roman" w:hAnsi="Times New Roman" w:cs="Times New Roman"/>
                <w:sz w:val="20"/>
                <w:szCs w:val="20"/>
                <w:lang w:val="en-GB"/>
              </w:rPr>
              <w:t xml:space="preserve"> in a manner consistent with all relevant law and legislation, and professional, organizational, and ethical standards.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document</w:t>
            </w:r>
            <w:proofErr w:type="gramEnd"/>
            <w:r w:rsidRPr="00116B08">
              <w:rPr>
                <w:rFonts w:ascii="Times New Roman" w:eastAsia="Times New Roman" w:hAnsi="Times New Roman" w:cs="Times New Roman"/>
                <w:sz w:val="20"/>
                <w:szCs w:val="20"/>
                <w:lang w:val="en-GB"/>
              </w:rPr>
              <w:t>, prepare, and assist in the presentation of court cases in compliance with criminal and provincial law, rules of evidence, and the Charter of Rights and Freedom.</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initiate</w:t>
            </w:r>
            <w:proofErr w:type="gramEnd"/>
            <w:r w:rsidRPr="00116B08">
              <w:rPr>
                <w:rFonts w:ascii="Times New Roman" w:eastAsia="Times New Roman" w:hAnsi="Times New Roman" w:cs="Times New Roman"/>
                <w:sz w:val="20"/>
                <w:szCs w:val="20"/>
                <w:lang w:val="en-GB"/>
              </w:rPr>
              <w:t>, promote, and facilitate partnerships to meet community policing and security needs.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the relationship of policing services to other participants in the criminal justice system and other community service agencies.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communicate</w:t>
            </w:r>
            <w:proofErr w:type="gramEnd"/>
            <w:r w:rsidRPr="00116B08">
              <w:rPr>
                <w:rFonts w:ascii="Times New Roman" w:eastAsia="Times New Roman" w:hAnsi="Times New Roman" w:cs="Times New Roman"/>
                <w:sz w:val="20"/>
                <w:szCs w:val="20"/>
                <w:lang w:val="en-GB"/>
              </w:rPr>
              <w:t xml:space="preserve"> clearly, concisely, and correctly in the written, spoken, and visual form that fulfils the purpose and meets the needs of audiences.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use</w:t>
            </w:r>
            <w:proofErr w:type="gramEnd"/>
            <w:r w:rsidRPr="00116B08">
              <w:rPr>
                <w:rFonts w:ascii="Times New Roman" w:eastAsia="Times New Roman" w:hAnsi="Times New Roman" w:cs="Times New Roman"/>
                <w:sz w:val="20"/>
                <w:szCs w:val="20"/>
                <w:lang w:val="en-GB"/>
              </w:rPr>
              <w:t xml:space="preserve"> a variety of computer hardware and software and other technological tools appropriate and necessary to the performance of tasks.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evaluate</w:t>
            </w:r>
            <w:proofErr w:type="gramEnd"/>
            <w:r w:rsidRPr="00116B08">
              <w:rPr>
                <w:rFonts w:ascii="Times New Roman" w:eastAsia="Times New Roman" w:hAnsi="Times New Roman" w:cs="Times New Roman"/>
                <w:sz w:val="20"/>
                <w:szCs w:val="20"/>
                <w:lang w:val="en-GB"/>
              </w:rPr>
              <w:t xml:space="preserve"> her or his own thinking throughout the steps and processes used in problem solving and decision making.</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create</w:t>
            </w:r>
            <w:proofErr w:type="gramEnd"/>
            <w:r w:rsidRPr="00116B08">
              <w:rPr>
                <w:rFonts w:ascii="Times New Roman" w:eastAsia="Times New Roman" w:hAnsi="Times New Roman" w:cs="Times New Roman"/>
                <w:sz w:val="20"/>
                <w:szCs w:val="20"/>
                <w:lang w:val="en-GB"/>
              </w:rPr>
              <w:t xml:space="preserv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116B08" w:rsidRPr="00116B08" w:rsidRDefault="00116B08" w:rsidP="00116B08">
      <w:pPr>
        <w:tabs>
          <w:tab w:val="left" w:pos="-720"/>
        </w:tabs>
        <w:spacing w:after="0" w:line="240" w:lineRule="auto"/>
        <w:rPr>
          <w:rFonts w:ascii="Times New Roman" w:eastAsia="Times New Roman" w:hAnsi="Times New Roman" w:cs="Times New Roman"/>
          <w:b/>
          <w:sz w:val="26"/>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sz w:val="24"/>
          <w:szCs w:val="20"/>
          <w:lang w:val="en-GB"/>
        </w:rPr>
        <w:t>Students receiving credit for this course will have demonstrated their ability to:</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Extract and gather information utilizing professional and ethically accepted interviewing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Interview individuals and groups to collect evidence, elicit, and validate information </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Differentiate between victims, suspects and witnesses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lang w:val="en-US"/>
        </w:rPr>
      </w:pPr>
      <w:r w:rsidRPr="00116B08">
        <w:rPr>
          <w:rFonts w:ascii="Arial" w:eastAsia="Times New Roman" w:hAnsi="Arial" w:cs="Arial"/>
          <w:snapToGrid w:val="0"/>
          <w:lang w:val="en-US"/>
        </w:rPr>
        <w:t>Comply with provincial, civil, and criminal law and use rules of evidence to guide investigation and interactions, and to ensure admissibility of evidence</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Select the most appropriate technique in a variety of situations in order to extract information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Influence or persuade others using a variety of communication strategies or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communication strategies, techniques, and language to meet the needs of an individual or group</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accepted interview techniques such as the Reid Interview Technique and the PEACE Interview Technique to obtain information from suspects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Evaluate the results of communication and adapt subsequent communication strategies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behaviours and speech patterns that may  indicate deception</w:t>
      </w:r>
    </w:p>
    <w:p w:rsidR="00116B08" w:rsidRPr="00116B08" w:rsidRDefault="00116B08" w:rsidP="00116B08">
      <w:pPr>
        <w:tabs>
          <w:tab w:val="left" w:pos="-720"/>
        </w:tabs>
        <w:spacing w:after="0" w:line="240" w:lineRule="auto"/>
        <w:ind w:left="720"/>
        <w:outlineLvl w:val="1"/>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Charter provisions and judges rules when obtaining admissions/confessions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Comply with provincial, civil, and criminal law and use rules of evidence to guide investigation and interactions, and to ensure admissibility of evidence within the boundaries set out by court decisions defining Charter rights and limitations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basic communication skills in the area of listening and speaking and recognize the significance of body language and environment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Collect, analyze, and synthesize information through observation, research, and consultation,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 adhering to identified Common Law, Charter and legislative requirements.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proofErr w:type="gramStart"/>
      <w:r w:rsidRPr="00116B08">
        <w:rPr>
          <w:rFonts w:ascii="Arial" w:eastAsia="Times New Roman" w:hAnsi="Arial" w:cs="Arial"/>
          <w:snapToGrid w:val="0"/>
          <w:szCs w:val="20"/>
          <w:lang w:val="en-US"/>
        </w:rPr>
        <w:t>Record investigative notes in compliance with legal and ethical standards.</w:t>
      </w:r>
      <w:proofErr w:type="gramEnd"/>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provincial and federal standards, regulations, and rules to professional conduct</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appropriate sources of information relative to investigative needs.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Protect confidentiality of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Interact with involved parties in an empathetic, respectful, and understanding manner</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Progress through the basic sequential steps of an investigation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Analyze personal and collective conduct related to ethical challenges that arise in various work situations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Respect the legal rights of others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Describe crime scene procedures used for securing, searching, recording, collecting, and preserving evidence.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Apply knowledge of court jurisdictions in various situations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Construct and apply descriptive factors for identification of suspects and other persons.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questioning techniques to gather, clarify, and validate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means of suspect identify identification by witnesses such as photo line-ups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III.</w:t>
      </w:r>
      <w:r w:rsidRPr="00116B08">
        <w:rPr>
          <w:rFonts w:ascii="Arial" w:eastAsia="Times New Roman" w:hAnsi="Arial" w:cs="Arial"/>
          <w:b/>
          <w:sz w:val="24"/>
          <w:szCs w:val="20"/>
          <w:lang w:val="en-US"/>
        </w:rPr>
        <w:tab/>
        <w:t>COURSE TOPICS: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Definitions and terms relating to investigative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Basic investigative principles, procedures and sequence </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Charter of  Rights and Freedoms relating to criminal investigations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Rules of evidence regarding the admissibility of statements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 techniques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Victim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Witness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Suspect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Interrogation principles and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Detecting deception</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 Written statements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spacing w:after="0" w:line="240" w:lineRule="auto"/>
        <w:rPr>
          <w:rFonts w:ascii="Arial" w:eastAsia="Times New Roman" w:hAnsi="Arial" w:cs="Arial"/>
          <w:sz w:val="20"/>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IV.</w:t>
      </w:r>
      <w:r w:rsidRPr="00116B08">
        <w:rPr>
          <w:rFonts w:ascii="Arial" w:eastAsia="Times New Roman" w:hAnsi="Arial" w:cs="Arial"/>
          <w:b/>
          <w:sz w:val="24"/>
          <w:szCs w:val="20"/>
          <w:lang w:val="en-US"/>
        </w:rPr>
        <w:tab/>
        <w:t>REQUIRED RESOURCES/TEXTS/MATERIALS:</w:t>
      </w:r>
    </w:p>
    <w:p w:rsidR="00116B08" w:rsidRPr="00116B08" w:rsidRDefault="00116B08" w:rsidP="00116B08">
      <w:pPr>
        <w:spacing w:after="0" w:line="240" w:lineRule="auto"/>
        <w:rPr>
          <w:rFonts w:ascii="Arial" w:eastAsia="Times New Roman" w:hAnsi="Arial" w:cs="Arial"/>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Interviewing and Investigation 2</w:t>
      </w:r>
      <w:r w:rsidRPr="00116B08">
        <w:rPr>
          <w:rFonts w:ascii="Arial" w:eastAsia="Times New Roman" w:hAnsi="Arial" w:cs="Arial"/>
          <w:sz w:val="24"/>
          <w:szCs w:val="20"/>
          <w:vertAlign w:val="superscript"/>
          <w:lang w:val="en-US"/>
        </w:rPr>
        <w:t>nd</w:t>
      </w:r>
      <w:r w:rsidRPr="00116B08">
        <w:rPr>
          <w:rFonts w:ascii="Arial" w:eastAsia="Times New Roman" w:hAnsi="Arial" w:cs="Arial"/>
          <w:sz w:val="24"/>
          <w:szCs w:val="20"/>
          <w:lang w:val="en-US"/>
        </w:rPr>
        <w:t xml:space="preserve"> Edition    </w:t>
      </w:r>
      <w:proofErr w:type="spellStart"/>
      <w:r w:rsidRPr="00116B08">
        <w:rPr>
          <w:rFonts w:ascii="Arial" w:eastAsia="Times New Roman" w:hAnsi="Arial" w:cs="Arial"/>
          <w:sz w:val="24"/>
          <w:szCs w:val="20"/>
          <w:lang w:val="en-US"/>
        </w:rPr>
        <w:t>Emond</w:t>
      </w:r>
      <w:proofErr w:type="spellEnd"/>
      <w:r w:rsidRPr="00116B08">
        <w:rPr>
          <w:rFonts w:ascii="Arial" w:eastAsia="Times New Roman" w:hAnsi="Arial" w:cs="Arial"/>
          <w:sz w:val="24"/>
          <w:szCs w:val="20"/>
          <w:lang w:val="en-US"/>
        </w:rPr>
        <w:t xml:space="preserve"> Montgomery Publications</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Criminal</w:t>
      </w:r>
      <w:r w:rsidR="00C47D74">
        <w:rPr>
          <w:rFonts w:ascii="Arial" w:eastAsia="Times New Roman" w:hAnsi="Arial" w:cs="Arial"/>
          <w:sz w:val="24"/>
          <w:szCs w:val="20"/>
          <w:lang w:val="en-US"/>
        </w:rPr>
        <w:t xml:space="preserve"> Code of Canada, Martin’s   2011 or 2012</w:t>
      </w:r>
      <w:r w:rsidRPr="00116B08">
        <w:rPr>
          <w:rFonts w:ascii="Arial" w:eastAsia="Times New Roman" w:hAnsi="Arial" w:cs="Arial"/>
          <w:sz w:val="24"/>
          <w:szCs w:val="20"/>
          <w:lang w:val="en-US"/>
        </w:rPr>
        <w:t xml:space="preserve"> edition</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tbl>
      <w:tblPr>
        <w:tblW w:w="0" w:type="auto"/>
        <w:tblLayout w:type="fixed"/>
        <w:tblLook w:val="0000" w:firstRow="0" w:lastRow="0" w:firstColumn="0" w:lastColumn="0" w:noHBand="0" w:noVBand="0"/>
      </w:tblPr>
      <w:tblGrid>
        <w:gridCol w:w="675"/>
        <w:gridCol w:w="1701"/>
        <w:gridCol w:w="4678"/>
        <w:gridCol w:w="1802"/>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lastRenderedPageBreak/>
              <w:t>V.</w:t>
            </w:r>
          </w:p>
        </w:tc>
        <w:tc>
          <w:tcPr>
            <w:tcW w:w="8181" w:type="dxa"/>
            <w:gridSpan w:val="3"/>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roofErr w:type="spellStart"/>
            <w:r w:rsidRPr="00116B08">
              <w:rPr>
                <w:rFonts w:ascii="Arial" w:eastAsia="Times New Roman" w:hAnsi="Arial" w:cs="Arial"/>
                <w:sz w:val="24"/>
                <w:szCs w:val="20"/>
                <w:lang w:val="en-US"/>
              </w:rPr>
              <w:t>Mid term</w:t>
            </w:r>
            <w:proofErr w:type="spellEnd"/>
            <w:r w:rsidRPr="00116B08">
              <w:rPr>
                <w:rFonts w:ascii="Arial" w:eastAsia="Times New Roman" w:hAnsi="Arial" w:cs="Arial"/>
                <w:sz w:val="24"/>
                <w:szCs w:val="20"/>
                <w:lang w:val="en-US"/>
              </w:rPr>
              <w:t xml:space="preserve"> Exam   25%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Video Interview  15%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Quizzes   2x5%   10%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Assignments (case studies) 4x5%    20%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Final Exam  30%  </w:t>
            </w:r>
          </w:p>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tcPr>
          <w:p w:rsidR="00116B08" w:rsidRPr="00116B08" w:rsidRDefault="00116B08" w:rsidP="00116B08">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vAlign w:val="center"/>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Unsatisfactory achievement in field/clinical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bl>
    <w:p w:rsidR="00116B08" w:rsidRPr="00116B08" w:rsidRDefault="00116B08" w:rsidP="00116B08">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783"/>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783"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 enrolled in Police Foundations, Law and Security Administration or Protection, Security and Investigation programs will require a minimum of 60% (C) as a passing grade in each course.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It is also important to note, that the minimum overall GPA required to graduate from a Sault College program is 2.0.</w:t>
            </w:r>
          </w:p>
        </w:tc>
      </w:tr>
    </w:tbl>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SPECIAL NOTES:</w:t>
            </w:r>
          </w:p>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Arial" w:eastAsia="Times New Roman" w:hAnsi="Arial" w:cs="Arial"/>
                <w:sz w:val="24"/>
                <w:szCs w:val="24"/>
                <w:u w:val="single"/>
                <w:lang w:val="en-US"/>
              </w:rPr>
            </w:pPr>
            <w:r w:rsidRPr="00116B08">
              <w:rPr>
                <w:rFonts w:ascii="Arial" w:eastAsia="Times New Roman" w:hAnsi="Arial" w:cs="Arial"/>
                <w:sz w:val="24"/>
                <w:szCs w:val="24"/>
                <w:u w:val="single"/>
                <w:lang w:val="en-US"/>
              </w:rPr>
              <w:t>Attendance:</w:t>
            </w:r>
          </w:p>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16B08" w:rsidRPr="00116B08" w:rsidRDefault="00116B08" w:rsidP="00116B08">
      <w:pPr>
        <w:spacing w:after="0" w:line="240" w:lineRule="auto"/>
        <w:rPr>
          <w:rFonts w:ascii="Arial" w:eastAsia="Times New Roman" w:hAnsi="Arial" w:cs="Arial"/>
          <w:sz w:val="24"/>
          <w:szCs w:val="24"/>
          <w:u w:val="single"/>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COURSE OUTLINE ADDENDUM:</w:t>
            </w:r>
          </w:p>
          <w:p w:rsidR="00116B08" w:rsidRPr="00116B08" w:rsidRDefault="00116B08" w:rsidP="00116B08">
            <w:pPr>
              <w:spacing w:after="0" w:line="240" w:lineRule="auto"/>
              <w:rPr>
                <w:rFonts w:ascii="Arial" w:eastAsia="Times New Roman" w:hAnsi="Arial" w:cs="Times New Roman"/>
                <w:b/>
                <w:sz w:val="24"/>
                <w:szCs w:val="20"/>
                <w:lang w:val="en-US"/>
              </w:rPr>
            </w:pP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8181"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The provisions contained in the addendum located on the portal, form part of this course outline.</w:t>
            </w:r>
          </w:p>
        </w:tc>
      </w:tr>
    </w:tbl>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9A085A" w:rsidRDefault="009A085A"/>
    <w:sectPr w:rsidR="009A085A" w:rsidSect="0018022B">
      <w:headerReference w:type="default" r:id="rId10"/>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F9" w:rsidRDefault="00C47D74">
      <w:pPr>
        <w:spacing w:after="0" w:line="240" w:lineRule="auto"/>
      </w:pPr>
      <w:r>
        <w:separator/>
      </w:r>
    </w:p>
  </w:endnote>
  <w:endnote w:type="continuationSeparator" w:id="0">
    <w:p w:rsidR="003F72F9" w:rsidRDefault="00C4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F9" w:rsidRDefault="00C47D74">
      <w:pPr>
        <w:spacing w:after="0" w:line="240" w:lineRule="auto"/>
      </w:pPr>
      <w:r>
        <w:separator/>
      </w:r>
    </w:p>
  </w:footnote>
  <w:footnote w:type="continuationSeparator" w:id="0">
    <w:p w:rsidR="003F72F9" w:rsidRDefault="00C47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E1" w:rsidRPr="00342EBA" w:rsidRDefault="0018022B" w:rsidP="00342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BA" w:rsidRPr="00BF61D4" w:rsidRDefault="00116B08" w:rsidP="00342EBA">
    <w:pPr>
      <w:pStyle w:val="Header"/>
      <w:rPr>
        <w:b/>
      </w:rPr>
    </w:pPr>
    <w:r w:rsidRPr="00BF61D4">
      <w:rPr>
        <w:b/>
      </w:rPr>
      <w:t>Interviewing and Investigation</w:t>
    </w:r>
    <w:r w:rsidRPr="00BF61D4">
      <w:rPr>
        <w:b/>
      </w:rPr>
      <w:tab/>
    </w:r>
    <w:r w:rsidR="009211BD" w:rsidRPr="00BF61D4">
      <w:rPr>
        <w:b/>
      </w:rPr>
      <w:fldChar w:fldCharType="begin"/>
    </w:r>
    <w:r w:rsidRPr="00BF61D4">
      <w:rPr>
        <w:b/>
      </w:rPr>
      <w:instrText xml:space="preserve"> PAGE   \* MERGEFORMAT </w:instrText>
    </w:r>
    <w:r w:rsidR="009211BD" w:rsidRPr="00BF61D4">
      <w:rPr>
        <w:b/>
      </w:rPr>
      <w:fldChar w:fldCharType="separate"/>
    </w:r>
    <w:r w:rsidR="0018022B">
      <w:rPr>
        <w:b/>
        <w:noProof/>
      </w:rPr>
      <w:t>6</w:t>
    </w:r>
    <w:r w:rsidR="009211BD" w:rsidRPr="00BF61D4">
      <w:rPr>
        <w:b/>
      </w:rPr>
      <w:fldChar w:fldCharType="end"/>
    </w:r>
    <w:r w:rsidRPr="00BF61D4">
      <w:rPr>
        <w:b/>
      </w:rPr>
      <w:tab/>
      <w:t>PFP304</w:t>
    </w:r>
  </w:p>
  <w:p w:rsidR="00342EBA" w:rsidRPr="00342EBA" w:rsidRDefault="0018022B" w:rsidP="0034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08"/>
    <w:rsid w:val="00116B08"/>
    <w:rsid w:val="0018022B"/>
    <w:rsid w:val="00196C38"/>
    <w:rsid w:val="003F72F9"/>
    <w:rsid w:val="009211BD"/>
    <w:rsid w:val="009A085A"/>
    <w:rsid w:val="00B13F0B"/>
    <w:rsid w:val="00C47D74"/>
    <w:rsid w:val="00DE4B3B"/>
    <w:rsid w:val="00ED7C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63BC2-372E-4EEA-B52A-A00FC6188942}"/>
</file>

<file path=customXml/itemProps2.xml><?xml version="1.0" encoding="utf-8"?>
<ds:datastoreItem xmlns:ds="http://schemas.openxmlformats.org/officeDocument/2006/customXml" ds:itemID="{398F22D0-6AAE-4167-9BD2-B18DB8F77367}"/>
</file>

<file path=customXml/itemProps3.xml><?xml version="1.0" encoding="utf-8"?>
<ds:datastoreItem xmlns:ds="http://schemas.openxmlformats.org/officeDocument/2006/customXml" ds:itemID="{648728C2-964D-47F6-9AA5-C6BA2438054C}"/>
</file>

<file path=docProps/app.xml><?xml version="1.0" encoding="utf-8"?>
<Properties xmlns="http://schemas.openxmlformats.org/officeDocument/2006/extended-properties" xmlns:vt="http://schemas.openxmlformats.org/officeDocument/2006/docPropsVTypes">
  <Template>Normal.dotm</Template>
  <TotalTime>2</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2013-08-28T16:52:00Z</cp:lastPrinted>
  <dcterms:created xsi:type="dcterms:W3CDTF">2013-08-26T15:50:00Z</dcterms:created>
  <dcterms:modified xsi:type="dcterms:W3CDTF">2013-08-28T16:52:00Z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10395000</vt:r8>
  </property>
</Properties>
</file>